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7F0" w:rsidRPr="009277F0" w:rsidRDefault="009277F0" w:rsidP="009277F0">
      <w:pPr>
        <w:jc w:val="right"/>
        <w:rPr>
          <w:rFonts w:ascii="Arial" w:hAnsi="Arial" w:cs="Arial"/>
        </w:rPr>
      </w:pPr>
      <w:r w:rsidRPr="009277F0">
        <w:rPr>
          <w:rFonts w:ascii="Arial" w:hAnsi="Arial" w:cs="Arial"/>
        </w:rPr>
        <w:t>Vitória, 24 de fevereiro de 2025.</w:t>
      </w:r>
    </w:p>
    <w:p w:rsidR="002F34EC" w:rsidRDefault="002F34EC" w:rsidP="009277F0">
      <w:pPr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277F0">
        <w:rPr>
          <w:rFonts w:ascii="Arial" w:hAnsi="Arial" w:cs="Arial"/>
          <w:b/>
          <w:sz w:val="28"/>
          <w:szCs w:val="28"/>
        </w:rPr>
        <w:t>Banestes alcança lucro líquido recorde de R$ 413 milhões no resultado anual de 2025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277F0" w:rsidRPr="005E092D" w:rsidRDefault="005E092D" w:rsidP="009277F0">
      <w:pPr>
        <w:spacing w:line="360" w:lineRule="auto"/>
        <w:jc w:val="both"/>
        <w:rPr>
          <w:rFonts w:ascii="Arial" w:hAnsi="Arial" w:cs="Arial"/>
          <w:i/>
          <w:iCs/>
          <w:color w:val="222222"/>
          <w:shd w:val="clear" w:color="auto" w:fill="FFFFFF"/>
        </w:rPr>
      </w:pPr>
      <w:r w:rsidRPr="005E092D">
        <w:rPr>
          <w:rFonts w:ascii="Arial" w:hAnsi="Arial" w:cs="Arial"/>
          <w:i/>
          <w:iCs/>
          <w:color w:val="222222"/>
          <w:shd w:val="clear" w:color="auto" w:fill="FFFFFF"/>
        </w:rPr>
        <w:t>Nos últimos 10 anos, o banco saiu de um lucro de R$ 161,3 milhões (2016) para em 2025 atingir um lucro de R$ 413,4 milhões, ou seja, um crescimento no resultado na ordem de 156,3%.</w:t>
      </w:r>
    </w:p>
    <w:p w:rsidR="005E092D" w:rsidRPr="009277F0" w:rsidRDefault="005E092D" w:rsidP="009277F0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277F0" w:rsidRPr="009277F0" w:rsidRDefault="009277F0" w:rsidP="005E092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 xml:space="preserve">O Banco do Estado do Espírito Santo (Banestes) divulgou, nesta terça-feira (24), os resultados do exercício do ano de 2025. O lucro líquido acumulado atingiu a cifra histórica de R$ 413 milhões, crescimento de 5,3% em comparação a 2024. Esse é o maior e melhor desempenho da história do Banestes, </w:t>
      </w:r>
      <w:r w:rsidRPr="009277F0">
        <w:rPr>
          <w:rFonts w:ascii="Arial" w:hAnsi="Arial" w:cs="Arial"/>
          <w:color w:val="000000" w:themeColor="text1"/>
          <w:sz w:val="24"/>
          <w:szCs w:val="24"/>
        </w:rPr>
        <w:t>cujo resultado anual permanece em crescimento há mais de 10 anos consecutivos</w:t>
      </w:r>
      <w:r w:rsidRPr="009277F0">
        <w:rPr>
          <w:rFonts w:ascii="Arial" w:hAnsi="Arial" w:cs="Arial"/>
          <w:sz w:val="24"/>
          <w:szCs w:val="24"/>
        </w:rPr>
        <w:t>. No quarto trimestre, o lucro líquido registrado foi de R$ 109 milhões.</w:t>
      </w:r>
    </w:p>
    <w:p w:rsidR="009277F0" w:rsidRPr="009277F0" w:rsidRDefault="009277F0" w:rsidP="006A00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277F0" w:rsidRPr="009277F0" w:rsidRDefault="009277F0" w:rsidP="009277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 xml:space="preserve">O bom resultado é decorrente, principalmente, das receitas com operações de crédito, que acumularam o montante de R$ 2,1 bilhões, resultado 23,9% maior do que o apurado em 2024, e também pela expansão das receitas com serviços e operações de títulos e valores mobiliários (TVM), que </w:t>
      </w:r>
      <w:r w:rsidRPr="009277F0">
        <w:rPr>
          <w:rFonts w:ascii="Arial" w:eastAsia="Calibri" w:hAnsi="Arial" w:cs="Arial"/>
          <w:color w:val="000000"/>
          <w:sz w:val="24"/>
          <w:szCs w:val="24"/>
        </w:rPr>
        <w:t>atingiu R$ 3,3 bilhões, expansão de 14,5%.</w:t>
      </w:r>
      <w:r w:rsidRPr="009277F0">
        <w:rPr>
          <w:rFonts w:ascii="Arial" w:hAnsi="Arial" w:cs="Arial"/>
          <w:sz w:val="24"/>
          <w:szCs w:val="24"/>
        </w:rPr>
        <w:t xml:space="preserve"> </w:t>
      </w:r>
      <w:r w:rsidRPr="009277F0">
        <w:rPr>
          <w:rFonts w:ascii="Arial" w:eastAsia="Calibri" w:hAnsi="Arial" w:cs="Arial"/>
          <w:sz w:val="24"/>
          <w:szCs w:val="24"/>
        </w:rPr>
        <w:t>O sólido desempenho das empresas controladas — Banestes Corretora, Banestes Seguros e Banestes Asset — também contribuiu significativamente, com um crescimento conjunto de 16,1% frente ao ano anterior.</w:t>
      </w:r>
      <w:r w:rsidRPr="009277F0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</w:t>
      </w:r>
      <w:r w:rsidRPr="009277F0">
        <w:rPr>
          <w:rFonts w:ascii="Arial" w:hAnsi="Arial" w:cs="Arial"/>
          <w:sz w:val="24"/>
          <w:szCs w:val="24"/>
        </w:rPr>
        <w:t>Juntas, as empresas controladas alcançaram R$ 108 milhões, valor que corresponde a mais de 26,2% do lucro líquido acumulado do Sistema Financeiro Banestes. Dentre outros fatores, o banco alcançou uma evolução de 9,9% no Resultado Operacional, atingindo a marca de R$ 653,3 milhões.</w:t>
      </w:r>
    </w:p>
    <w:p w:rsidR="009277F0" w:rsidRPr="009277F0" w:rsidRDefault="009277F0" w:rsidP="009277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9277F0" w:rsidRPr="009277F0" w:rsidRDefault="009277F0" w:rsidP="009277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  <w:highlight w:val="green"/>
        </w:rPr>
      </w:pPr>
      <w:r w:rsidRPr="009277F0">
        <w:rPr>
          <w:rFonts w:ascii="Arial" w:hAnsi="Arial" w:cs="Arial"/>
          <w:sz w:val="24"/>
          <w:szCs w:val="24"/>
        </w:rPr>
        <w:lastRenderedPageBreak/>
        <w:t xml:space="preserve">O presidente do Banestes, Amarildo Casagrande, analisa que os resultados reafirmam a solidez e a competência técnica e administrativa que mantém o Banestes com excelente reputação e confiança de mercado. “O Banestes é composto por uma equipe de alta capacidade técnica e mantém com constância decisões estratégicas administrativas de risco controlado. Quando analisamos os números, vemos, por exemplo, a composição crescente das carteiras de crédito, como a do </w:t>
      </w:r>
      <w:r w:rsidRPr="009277F0">
        <w:rPr>
          <w:rFonts w:ascii="Arial" w:eastAsia="Calibri" w:hAnsi="Arial" w:cs="Arial"/>
          <w:sz w:val="24"/>
          <w:szCs w:val="24"/>
        </w:rPr>
        <w:t xml:space="preserve">Consignado, com aumento de </w:t>
      </w:r>
      <w:r w:rsidRPr="009277F0">
        <w:rPr>
          <w:rFonts w:ascii="Arial" w:eastAsia="Calibri" w:hAnsi="Arial" w:cs="Arial"/>
          <w:color w:val="000000" w:themeColor="text1"/>
          <w:sz w:val="24"/>
          <w:szCs w:val="24"/>
        </w:rPr>
        <w:t xml:space="preserve">10,2% em doze meses, </w:t>
      </w:r>
      <w:r w:rsidRPr="009277F0">
        <w:rPr>
          <w:rFonts w:ascii="Arial" w:eastAsia="Calibri" w:hAnsi="Arial" w:cs="Arial"/>
          <w:sz w:val="24"/>
          <w:szCs w:val="24"/>
        </w:rPr>
        <w:t xml:space="preserve">e o Capital de Giro, </w:t>
      </w:r>
      <w:r w:rsidRPr="009277F0">
        <w:rPr>
          <w:rFonts w:ascii="Arial" w:eastAsia="Calibri" w:hAnsi="Arial" w:cs="Arial"/>
          <w:color w:val="000000" w:themeColor="text1"/>
          <w:sz w:val="24"/>
          <w:szCs w:val="24"/>
        </w:rPr>
        <w:t>com 7,2% de crescimento</w:t>
      </w:r>
      <w:r w:rsidRPr="009277F0">
        <w:rPr>
          <w:rFonts w:ascii="Arial" w:eastAsia="Calibri" w:hAnsi="Arial" w:cs="Arial"/>
          <w:sz w:val="24"/>
          <w:szCs w:val="24"/>
        </w:rPr>
        <w:t>. Além disso, o C</w:t>
      </w:r>
      <w:r w:rsidRPr="009277F0">
        <w:rPr>
          <w:rFonts w:ascii="Arial" w:eastAsia="Calibri" w:hAnsi="Arial" w:cs="Arial"/>
          <w:color w:val="000000"/>
          <w:sz w:val="24"/>
          <w:szCs w:val="24"/>
        </w:rPr>
        <w:t xml:space="preserve">rédito Rural teve o maior crescimento percentual: mais de 44% no período. O Imobiliário se aproximou dos R$ 2,8 bilhões de saldo, com variação estável. </w:t>
      </w:r>
      <w:r w:rsidRPr="009277F0">
        <w:rPr>
          <w:rFonts w:ascii="Arial" w:eastAsia="Calibri" w:hAnsi="Arial" w:cs="Arial"/>
          <w:sz w:val="24"/>
          <w:szCs w:val="24"/>
        </w:rPr>
        <w:t xml:space="preserve">Estamos avançando cada vez mais na oferta de produtos e serviços, incentivando toda a cadeia produtiva do Espírito Santo e também alcançando ainda mais relevância nacional. Ao longo dos sete anos da atual gestão, entregamos resultados positivos recordes a cada ano, o que evidencia </w:t>
      </w:r>
      <w:r w:rsidRPr="009277F0">
        <w:rPr>
          <w:rFonts w:ascii="Arial" w:hAnsi="Arial" w:cs="Arial"/>
          <w:sz w:val="24"/>
          <w:szCs w:val="24"/>
        </w:rPr>
        <w:t>as ações positivas para entregar uma rentabilidade adequada aos nossos acionistas, com decisões assertivas e prudentes”, destacou Casagrande.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O saldo total da carteira de crédito comercial do Banestes manteve a trajetória de crescimento: 8,2% em doze meses, encerrando 2025 com R$ 12,7 bilhões. Já as Receitas com Operações de Crédito alcançaram R$ 2,1 bilhões em 2025, expansão de 23,9% em relação a 2024. O Crédito Consignado manteve-se como principal motor desse resultado, entregando 29,6% da receita total, seguido pelo Capital de Giro (21,0%) e pelo Imobiliário (13,9%).</w:t>
      </w:r>
    </w:p>
    <w:p w:rsidR="009277F0" w:rsidRPr="009277F0" w:rsidRDefault="009277F0" w:rsidP="009277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 xml:space="preserve">Vale destacar as </w:t>
      </w:r>
      <w:sdt>
        <w:sdtPr>
          <w:rPr>
            <w:rFonts w:ascii="Arial" w:hAnsi="Arial" w:cs="Arial"/>
            <w:sz w:val="24"/>
            <w:szCs w:val="24"/>
          </w:rPr>
          <w:tag w:val="goog_rdk_11"/>
          <w:id w:val="-1831878088"/>
        </w:sdtPr>
        <w:sdtContent/>
      </w:sdt>
      <w:r w:rsidRPr="009277F0">
        <w:rPr>
          <w:rFonts w:ascii="Arial" w:hAnsi="Arial" w:cs="Arial"/>
          <w:sz w:val="24"/>
          <w:szCs w:val="24"/>
        </w:rPr>
        <w:t xml:space="preserve">receitas com prestação de serviços do Banestes, que avançaram 5,9%, impulsionadas pelos segmentos de Seguros e de Cartões. </w:t>
      </w:r>
      <w:sdt>
        <w:sdtPr>
          <w:rPr>
            <w:rFonts w:ascii="Arial" w:hAnsi="Arial" w:cs="Arial"/>
            <w:sz w:val="24"/>
            <w:szCs w:val="24"/>
          </w:rPr>
          <w:tag w:val="goog_rdk_12"/>
          <w:id w:val="435653561"/>
        </w:sdtPr>
        <w:sdtContent/>
      </w:sdt>
      <w:r w:rsidRPr="009277F0">
        <w:rPr>
          <w:rFonts w:ascii="Arial" w:hAnsi="Arial" w:cs="Arial"/>
          <w:sz w:val="24"/>
          <w:szCs w:val="24"/>
        </w:rPr>
        <w:t xml:space="preserve">O resultado de Seguros atingiu R$ 185 milhões, apresentando uma sólida expansão de 16,6% em </w:t>
      </w:r>
      <w:r w:rsidRPr="009277F0">
        <w:rPr>
          <w:rFonts w:ascii="Arial" w:hAnsi="Arial" w:cs="Arial"/>
          <w:sz w:val="24"/>
          <w:szCs w:val="24"/>
        </w:rPr>
        <w:lastRenderedPageBreak/>
        <w:t>doze meses. Paralelamente, as receitas provenientes de Cartões registraram alta de 7,3%.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Complementando as análises sobre os resultados alcançados, o diretor de Relações com Investidores e de Finanças do Banestes, Silvio Grillo, ressaltou que “com a Selic média em 14,81%, maior patamar desde 2020, o Banestes alcançou sua maior Receita de Intermediação Financeira dos últimos cinco anos: R$ 5,5 bilhões. Esse montante foi suficiente para absorver as despesas financeiras e consolidar o maior Resultado de Intermediação da história do Banco, totalizando R$ 1,6 bilhão”, disse. Além disso, e</w:t>
      </w:r>
      <w:r w:rsidRPr="009277F0">
        <w:rPr>
          <w:rFonts w:ascii="Arial" w:eastAsia="Calibri" w:hAnsi="Arial" w:cs="Arial"/>
          <w:sz w:val="24"/>
          <w:szCs w:val="24"/>
        </w:rPr>
        <w:t xml:space="preserve">m 2025, a </w:t>
      </w:r>
      <w:sdt>
        <w:sdtPr>
          <w:rPr>
            <w:rFonts w:ascii="Arial" w:hAnsi="Arial" w:cs="Arial"/>
            <w:sz w:val="24"/>
            <w:szCs w:val="24"/>
          </w:rPr>
          <w:tag w:val="goog_rdk_13"/>
          <w:id w:val="-467373526"/>
        </w:sdtPr>
        <w:sdtContent/>
      </w:sdt>
      <w:r w:rsidRPr="009277F0">
        <w:rPr>
          <w:rFonts w:ascii="Arial" w:eastAsia="Calibri" w:hAnsi="Arial" w:cs="Arial"/>
          <w:sz w:val="24"/>
          <w:szCs w:val="24"/>
        </w:rPr>
        <w:t xml:space="preserve">Margem Financeira Líquida se aproximou da marca de R$ 1,4 bilhão, registrando uma alta de 11,1% em comparação a 2024. 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O Patrimônio Líquido do Banestes atingiu a marca de R$ 2,4 bilhões. Outro dado relevante é que, desde 2023, o valor de mercado do Banestes supera o seu valor patrimonial, passando da marca dos R$ 2,8 bilhões em 2025.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A Fitch Ratings reafirmou nosso rating nacional em AA+, com perspectiva estável, ressaltando o perfil de negócios equilibrado, a forte rentabilidade e a capitalização consistente do Banestes.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Pr="009277F0" w:rsidRDefault="009277F0" w:rsidP="001E7C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Na mesma linha, a Moody’s Local atribuiu o rating AA.br, com perspectiva positiva, para o longo prazo e a nota máxima (ML A-1.br) para o curto prazo. No relatório, a agência destaca o potencial de crescimento do Banestes, suportado pela expansão da carteira de crédito, que se mantém diversificada e de boa qualidade.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 xml:space="preserve">Vale ressaltar ainda que </w:t>
      </w:r>
      <w:r w:rsidRPr="009277F0">
        <w:rPr>
          <w:rFonts w:ascii="Arial" w:eastAsia="Calibri" w:hAnsi="Arial" w:cs="Arial"/>
          <w:color w:val="000000"/>
          <w:sz w:val="24"/>
          <w:szCs w:val="24"/>
        </w:rPr>
        <w:t xml:space="preserve">em 2025 </w:t>
      </w:r>
      <w:sdt>
        <w:sdtPr>
          <w:rPr>
            <w:rFonts w:ascii="Arial" w:hAnsi="Arial" w:cs="Arial"/>
            <w:sz w:val="24"/>
            <w:szCs w:val="24"/>
          </w:rPr>
          <w:tag w:val="goog_rdk_37"/>
          <w:id w:val="-998266030"/>
        </w:sdtPr>
        <w:sdtContent/>
      </w:sdt>
      <w:r w:rsidRPr="009277F0">
        <w:rPr>
          <w:rFonts w:ascii="Arial" w:eastAsia="Calibri" w:hAnsi="Arial" w:cs="Arial"/>
          <w:color w:val="000000"/>
          <w:sz w:val="24"/>
          <w:szCs w:val="24"/>
        </w:rPr>
        <w:t xml:space="preserve">o Banestes entregou à sociedade o valor adicionado de R$ 1,3 bilhão, por meio de impostos e contribuições, remuneração de pessoal, distribuição de lucros e remuneração de capitais de terceiros. </w:t>
      </w:r>
      <w:r w:rsidRPr="009277F0">
        <w:rPr>
          <w:rFonts w:ascii="Arial" w:eastAsia="Arial" w:hAnsi="Arial" w:cs="Arial"/>
          <w:sz w:val="24"/>
          <w:szCs w:val="24"/>
        </w:rPr>
        <w:t xml:space="preserve">Aos </w:t>
      </w:r>
      <w:r w:rsidRPr="009277F0">
        <w:rPr>
          <w:rFonts w:ascii="Arial" w:eastAsia="Arial" w:hAnsi="Arial" w:cs="Arial"/>
          <w:sz w:val="24"/>
          <w:szCs w:val="24"/>
        </w:rPr>
        <w:lastRenderedPageBreak/>
        <w:t xml:space="preserve">acionistas foram destinados R$ 132 milhões a título de Juros sobre Capital Próprio (JCP) e dividendos no 4º trimestre do ano. No acumulado do exercício de 2025, o montante contabilizado atingiu R$ 237 milhões, o que representa um </w:t>
      </w:r>
      <w:r w:rsidRPr="009277F0">
        <w:rPr>
          <w:rFonts w:ascii="Arial" w:eastAsia="Arial" w:hAnsi="Arial" w:cs="Arial"/>
          <w:i/>
          <w:iCs/>
          <w:sz w:val="24"/>
          <w:szCs w:val="24"/>
        </w:rPr>
        <w:t xml:space="preserve">payout </w:t>
      </w:r>
      <w:r w:rsidRPr="009277F0">
        <w:rPr>
          <w:rFonts w:ascii="Arial" w:eastAsia="Arial" w:hAnsi="Arial" w:cs="Arial"/>
          <w:iCs/>
          <w:sz w:val="24"/>
          <w:szCs w:val="24"/>
        </w:rPr>
        <w:t>anualizado</w:t>
      </w:r>
      <w:r w:rsidRPr="009277F0">
        <w:rPr>
          <w:rFonts w:ascii="Arial" w:eastAsia="Arial" w:hAnsi="Arial" w:cs="Arial"/>
          <w:sz w:val="24"/>
          <w:szCs w:val="24"/>
        </w:rPr>
        <w:t xml:space="preserve"> de 57,3%. 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As informações completas sobre o Resultado Anual de 2025 do Banestes foram transmitidas pela diretoria da instituição financeira via YouTube, no canal oficial do Banestes, www.youtube.com/@BanestesTV. Os dados completos também podem ser consultados no site de Relações com Investidores (ri.banestes.com.br), além das páginas da Comissão de Valores Mobiliários (sistemas.cvm.gov.br/consultas.asp) e da B3 (</w:t>
      </w:r>
      <w:hyperlink r:id="rId7" w:history="1">
        <w:r w:rsidRPr="009277F0">
          <w:rPr>
            <w:rStyle w:val="Hyperlink"/>
            <w:rFonts w:ascii="Arial" w:hAnsi="Arial" w:cs="Arial"/>
            <w:sz w:val="24"/>
            <w:szCs w:val="24"/>
          </w:rPr>
          <w:t>www.b3.com.br</w:t>
        </w:r>
      </w:hyperlink>
      <w:r w:rsidRPr="009277F0">
        <w:rPr>
          <w:rFonts w:ascii="Arial" w:hAnsi="Arial" w:cs="Arial"/>
          <w:sz w:val="24"/>
          <w:szCs w:val="24"/>
        </w:rPr>
        <w:t>).</w:t>
      </w: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77F0" w:rsidRPr="009277F0" w:rsidRDefault="009277F0" w:rsidP="009277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77F0">
        <w:rPr>
          <w:rFonts w:ascii="Arial" w:hAnsi="Arial" w:cs="Arial"/>
          <w:sz w:val="24"/>
          <w:szCs w:val="24"/>
        </w:rPr>
        <w:t>Em seus 88 anos de história, o Banestes é o único banco presente em todos os municípios do Espírito Santo. Ao todo, são 738 pontos de atendimento, compostos por 148 agências, 268 pontos de atendimento eletrônico e 322 correspondentes Banesfácil.</w:t>
      </w:r>
    </w:p>
    <w:p w:rsidR="009277F0" w:rsidRDefault="009277F0" w:rsidP="009277F0">
      <w:pPr>
        <w:spacing w:line="360" w:lineRule="auto"/>
      </w:pPr>
    </w:p>
    <w:p w:rsidR="009277F0" w:rsidRDefault="009277F0" w:rsidP="009277F0">
      <w:pPr>
        <w:spacing w:line="360" w:lineRule="auto"/>
      </w:pPr>
    </w:p>
    <w:p w:rsidR="009277F0" w:rsidRDefault="009277F0" w:rsidP="009277F0"/>
    <w:p w:rsidR="009277F0" w:rsidRDefault="009277F0" w:rsidP="009277F0"/>
    <w:p w:rsidR="009277F0" w:rsidRDefault="009277F0" w:rsidP="009277F0">
      <w:pPr>
        <w:pStyle w:val="Ttulo2"/>
        <w:spacing w:before="225" w:line="240" w:lineRule="atLeast"/>
        <w:ind w:left="225"/>
        <w:rPr>
          <w:rFonts w:ascii="Arial" w:hAnsi="Arial" w:cs="Arial"/>
          <w:i/>
          <w:iCs/>
          <w:color w:val="607079"/>
          <w:sz w:val="24"/>
          <w:szCs w:val="24"/>
        </w:rPr>
      </w:pPr>
      <w:r>
        <w:rPr>
          <w:rFonts w:ascii="Arial" w:hAnsi="Arial" w:cs="Arial"/>
          <w:i/>
          <w:iCs/>
          <w:color w:val="607079"/>
          <w:sz w:val="24"/>
          <w:szCs w:val="24"/>
        </w:rPr>
        <w:t>Informações à Imprensa:</w:t>
      </w:r>
    </w:p>
    <w:p w:rsidR="009277F0" w:rsidRDefault="009277F0" w:rsidP="009277F0">
      <w:pPr>
        <w:pStyle w:val="NormalWeb"/>
        <w:spacing w:before="0" w:beforeAutospacing="0" w:after="0" w:afterAutospacing="0" w:line="336" w:lineRule="atLeast"/>
        <w:ind w:left="225"/>
        <w:rPr>
          <w:rFonts w:ascii="Arial" w:hAnsi="Arial" w:cs="Arial"/>
          <w:color w:val="607079"/>
          <w:sz w:val="18"/>
          <w:szCs w:val="18"/>
        </w:rPr>
      </w:pPr>
      <w:r>
        <w:rPr>
          <w:rFonts w:ascii="Arial" w:hAnsi="Arial" w:cs="Arial"/>
          <w:color w:val="607079"/>
          <w:sz w:val="18"/>
          <w:szCs w:val="18"/>
        </w:rPr>
        <w:t>Gerência de Comunicação e Imprensa do Banestes</w:t>
      </w:r>
      <w:r>
        <w:rPr>
          <w:rFonts w:ascii="Arial" w:hAnsi="Arial" w:cs="Arial"/>
          <w:color w:val="607079"/>
          <w:sz w:val="18"/>
          <w:szCs w:val="18"/>
        </w:rPr>
        <w:br/>
        <w:t>Rafaella Rodrigues</w:t>
      </w:r>
      <w:r>
        <w:rPr>
          <w:rFonts w:ascii="Arial" w:hAnsi="Arial" w:cs="Arial"/>
          <w:color w:val="607079"/>
          <w:sz w:val="18"/>
          <w:szCs w:val="18"/>
        </w:rPr>
        <w:br/>
      </w:r>
      <w:hyperlink r:id="rId8" w:history="1">
        <w:r>
          <w:rPr>
            <w:rStyle w:val="Hyperlink"/>
            <w:rFonts w:ascii="Arial" w:hAnsi="Arial" w:cs="Arial"/>
            <w:color w:val="3266A0"/>
            <w:sz w:val="18"/>
            <w:szCs w:val="18"/>
            <w:bdr w:val="none" w:sz="0" w:space="0" w:color="auto" w:frame="1"/>
          </w:rPr>
          <w:t>assessoriadecomunicacao@banestes.com.br</w:t>
        </w:r>
      </w:hyperlink>
      <w:r>
        <w:rPr>
          <w:rFonts w:ascii="Arial" w:hAnsi="Arial" w:cs="Arial"/>
          <w:color w:val="607079"/>
          <w:sz w:val="18"/>
          <w:szCs w:val="18"/>
        </w:rPr>
        <w:br/>
        <w:t>(27) 99831-6034</w:t>
      </w:r>
    </w:p>
    <w:p w:rsidR="009277F0" w:rsidRPr="009277F0" w:rsidRDefault="009277F0" w:rsidP="009277F0"/>
    <w:sectPr w:rsidR="009277F0" w:rsidRPr="009277F0" w:rsidSect="006A00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701" w:bottom="1418" w:left="1701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E05" w:rsidRDefault="00871E05">
      <w:r>
        <w:separator/>
      </w:r>
    </w:p>
  </w:endnote>
  <w:endnote w:type="continuationSeparator" w:id="0">
    <w:p w:rsidR="00871E05" w:rsidRDefault="0087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5D7D23-081E-4DC6-9A89-DAD6018884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602907-1FE0-4F27-80AA-177D784DABFB}"/>
    <w:embedBold r:id="rId3" w:fontKey="{20361FC1-75DE-4498-8D33-8259F1BFA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098C1E-CF36-47BE-8933-E83EEAEFB8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EC" w:rsidRPr="006A00DA" w:rsidRDefault="006A00DA" w:rsidP="006A00DA">
    <w:pPr>
      <w:pStyle w:val="Rodap"/>
    </w:pPr>
    <w:r w:rsidRPr="006A00DA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809750" cy="209550"/>
          <wp:effectExtent l="0" t="0" r="0" b="0"/>
          <wp:wrapNone/>
          <wp:docPr id="24" name="bjCLFRImageEvenFooter-bb274807-20a1-4080-a2f6-f3d8eef33b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fldChar w:fldCharType="begin" w:fldLock="1"/>
    </w:r>
    <w:r>
      <w:rPr>
        <w:rFonts w:ascii="Arial" w:hAnsi="Arial" w:cs="Arial"/>
        <w:sz w:val="24"/>
        <w:szCs w:val="24"/>
      </w:rPr>
      <w:instrText xml:space="preserve"> DOCPROPERTY bjFooterEvenPageDocProperty \* MERGEFORMAT </w:instrText>
    </w:r>
    <w:r>
      <w:rPr>
        <w:rFonts w:ascii="Arial" w:hAnsi="Arial" w:cs="Arial"/>
        <w:sz w:val="24"/>
        <w:szCs w:val="24"/>
      </w:rPr>
      <w:fldChar w:fldCharType="separate"/>
    </w:r>
    <w:r w:rsidRPr="006A00DA">
      <w:rPr>
        <w:color w:val="000000"/>
        <w:sz w:val="24"/>
        <w:szCs w:val="24"/>
      </w:rPr>
      <w:t xml:space="preserve">                 </w:t>
    </w:r>
    <w:r>
      <w:rPr>
        <w:rFonts w:ascii="Arial" w:hAnsi="Arial" w:cs="Arial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7F0" w:rsidRDefault="006A00DA" w:rsidP="006A00D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A00DA">
      <w:rPr>
        <w:rFonts w:ascii="Arial" w:hAnsi="Arial" w:cs="Arial"/>
        <w:noProof/>
        <w:color w:val="000000"/>
        <w:sz w:val="28"/>
        <w:szCs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809750" cy="209550"/>
          <wp:effectExtent l="0" t="0" r="0" b="0"/>
          <wp:wrapNone/>
          <wp:docPr id="22" name="bjCLFRImagePrimFooter-bb274807-20a1-4080-a2f6-f3d8eef33b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A00DA">
      <w:rPr>
        <w:rFonts w:ascii="Arial" w:hAnsi="Arial" w:cs="Arial"/>
        <w:color w:val="000000"/>
        <w:sz w:val="24"/>
        <w:szCs w:val="24"/>
      </w:rPr>
      <w:fldChar w:fldCharType="begin" w:fldLock="1"/>
    </w:r>
    <w:r w:rsidRPr="006A00DA">
      <w:rPr>
        <w:rFonts w:ascii="Arial" w:hAnsi="Arial" w:cs="Arial"/>
        <w:color w:val="000000"/>
        <w:sz w:val="24"/>
        <w:szCs w:val="24"/>
      </w:rPr>
      <w:instrText xml:space="preserve"> DOCPROPERTY bjFooterBothDocProperty \* MERGEFORMAT </w:instrText>
    </w:r>
    <w:r w:rsidRPr="006A00DA">
      <w:rPr>
        <w:rFonts w:ascii="Arial" w:hAnsi="Arial" w:cs="Arial"/>
        <w:color w:val="000000"/>
        <w:sz w:val="24"/>
        <w:szCs w:val="24"/>
      </w:rPr>
      <w:fldChar w:fldCharType="separate"/>
    </w:r>
    <w:r w:rsidRPr="006A00DA">
      <w:rPr>
        <w:color w:val="000000"/>
        <w:sz w:val="24"/>
        <w:szCs w:val="24"/>
      </w:rPr>
      <w:t xml:space="preserve">                 </w:t>
    </w:r>
    <w:r w:rsidRPr="006A00DA">
      <w:rPr>
        <w:rFonts w:ascii="Arial" w:hAnsi="Arial" w:cs="Arial"/>
        <w:color w:val="000000"/>
        <w:sz w:val="24"/>
        <w:szCs w:val="24"/>
      </w:rPr>
      <w:fldChar w:fldCharType="end"/>
    </w:r>
  </w:p>
  <w:p w:rsidR="002F34EC" w:rsidRDefault="00871E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3752850" cy="86871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2228" r="-2284"/>
                  <a:stretch>
                    <a:fillRect/>
                  </a:stretch>
                </pic:blipFill>
                <pic:spPr>
                  <a:xfrm>
                    <a:off x="0" y="0"/>
                    <a:ext cx="3752850" cy="868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1104900</wp:posOffset>
              </wp:positionV>
              <wp:extent cx="8086725" cy="142707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07400" y="3718088"/>
                        <a:ext cx="8077200" cy="123825"/>
                      </a:xfrm>
                      <a:prstGeom prst="rect">
                        <a:avLst/>
                      </a:prstGeom>
                      <a:solidFill>
                        <a:srgbClr val="1D03EC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4EC" w:rsidRDefault="002F34E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" o:spid="_x0000_s1026" style="position:absolute;margin-left:-97pt;margin-top:87pt;width:636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" fillcolor="#1d03ec" stroked="f">
              <v:textbox inset="2.53958mm,2.53958mm,2.53958mm,2.53958mm">
                <w:txbxContent>
                  <w:p w:rsidR="002F34EC" w:rsidRDefault="002F34E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EC" w:rsidRPr="006A00DA" w:rsidRDefault="006A00DA" w:rsidP="006A00DA">
    <w:pPr>
      <w:pStyle w:val="Rodap"/>
    </w:pPr>
    <w:r w:rsidRPr="006A00DA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809750" cy="209550"/>
          <wp:effectExtent l="0" t="0" r="0" b="0"/>
          <wp:wrapNone/>
          <wp:docPr id="23" name="bjCLFRImageFirstFooter-bb274807-20a1-4080-a2f6-f3d8eef33b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fldChar w:fldCharType="begin" w:fldLock="1"/>
    </w:r>
    <w:r>
      <w:rPr>
        <w:rFonts w:ascii="Arial" w:hAnsi="Arial" w:cs="Arial"/>
        <w:sz w:val="24"/>
        <w:szCs w:val="24"/>
      </w:rPr>
      <w:instrText xml:space="preserve"> DOCPROPERTY bjFooterFirstPageDocProperty \* MERGEFORMAT </w:instrText>
    </w:r>
    <w:r>
      <w:rPr>
        <w:rFonts w:ascii="Arial" w:hAnsi="Arial" w:cs="Arial"/>
        <w:sz w:val="24"/>
        <w:szCs w:val="24"/>
      </w:rPr>
      <w:fldChar w:fldCharType="separate"/>
    </w:r>
    <w:r w:rsidRPr="006A00DA">
      <w:rPr>
        <w:color w:val="000000"/>
        <w:sz w:val="24"/>
        <w:szCs w:val="24"/>
      </w:rPr>
      <w:t xml:space="preserve">                 </w:t>
    </w:r>
    <w:r>
      <w:rPr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E05" w:rsidRDefault="00871E05">
      <w:r>
        <w:separator/>
      </w:r>
    </w:p>
  </w:footnote>
  <w:footnote w:type="continuationSeparator" w:id="0">
    <w:p w:rsidR="00871E05" w:rsidRDefault="00871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EC" w:rsidRDefault="002F34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EC" w:rsidRDefault="00871E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701" w:right="-5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247650</wp:posOffset>
          </wp:positionV>
          <wp:extent cx="1859921" cy="82391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9921" cy="823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EC" w:rsidRDefault="002F34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EC"/>
    <w:rsid w:val="001E7C5F"/>
    <w:rsid w:val="002F34EC"/>
    <w:rsid w:val="005E092D"/>
    <w:rsid w:val="006A00DA"/>
    <w:rsid w:val="00871E05"/>
    <w:rsid w:val="009277F0"/>
    <w:rsid w:val="00974977"/>
    <w:rsid w:val="00A0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B8971E-4CB6-4F4A-B306-9CAF6E22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277F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277F0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9277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27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essoriadecomunicacao@banestes.com.b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3.com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359f2bc-f805-47d1-b2be-17a2a02d0eba" origin="userSelected">
  <element uid="33aa61e0-3d9b-44ec-8267-a3affe1ef254" value=""/>
</sisl>
</file>

<file path=customXml/itemProps1.xml><?xml version="1.0" encoding="utf-8"?>
<ds:datastoreItem xmlns:ds="http://schemas.openxmlformats.org/officeDocument/2006/customXml" ds:itemID="{7CFEE178-3ECF-45A5-B7CF-0C1A7794289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975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Rafaella Rodrigues Patta de Castro</dc:creator>
  <cp:lastModifiedBy>Rafaella Rodrigues Patta de Castro</cp:lastModifiedBy>
  <cp:revision>7</cp:revision>
  <dcterms:created xsi:type="dcterms:W3CDTF">2026-02-23T17:43:00Z</dcterms:created>
  <dcterms:modified xsi:type="dcterms:W3CDTF">2026-02-23T18:45:00Z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ad49926e-87e5-4e88-b4c0-31f2979672ab</vt:lpwstr>
  </property>
  <property fmtid="{D5CDD505-2E9C-101B-9397-08002B2CF9AE}" pid="3" name="bjSaver">
    <vt:lpwstr>NpklA8yeMzbIoOxU9PUjdjgLm1nKpvFb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policy="1359f2bc-f805-47d1-b2be-17a2a02d0eba" origin="userSelected" xmlns="http://www.boldonj</vt:lpwstr>
  </property>
  <property fmtid="{D5CDD505-2E9C-101B-9397-08002B2CF9AE}" pid="5" name="bjDocumentLabelXML-0">
    <vt:lpwstr>ames.com/2008/01/sie/internal/label"&gt;&lt;element uid="33aa61e0-3d9b-44ec-8267-a3affe1ef254" value="" /&gt;&lt;/sisl&gt;</vt:lpwstr>
  </property>
  <property fmtid="{D5CDD505-2E9C-101B-9397-08002B2CF9AE}" pid="6" name="bjDocumentSecurityLabel">
    <vt:lpwstr>Pública</vt:lpwstr>
  </property>
  <property fmtid="{D5CDD505-2E9C-101B-9397-08002B2CF9AE}" pid="7" name="classificado por">
    <vt:lpwstr>Rafaella Rodrigues Patta de Castro</vt:lpwstr>
  </property>
  <property fmtid="{D5CDD505-2E9C-101B-9397-08002B2CF9AE}" pid="8" name="Data da Classificação">
    <vt:lpwstr>23/02/2026</vt:lpwstr>
  </property>
  <property fmtid="{D5CDD505-2E9C-101B-9397-08002B2CF9AE}" pid="9" name="bjClsUserRVM">
    <vt:lpwstr>[]</vt:lpwstr>
  </property>
  <property fmtid="{D5CDD505-2E9C-101B-9397-08002B2CF9AE}" pid="10" name="bjFooterBothDocProperty">
    <vt:lpwstr>                 </vt:lpwstr>
  </property>
  <property fmtid="{D5CDD505-2E9C-101B-9397-08002B2CF9AE}" pid="11" name="bjFooterFirstPageDocProperty">
    <vt:lpwstr>                 </vt:lpwstr>
  </property>
  <property fmtid="{D5CDD505-2E9C-101B-9397-08002B2CF9AE}" pid="12" name="bjFooterEvenPageDocProperty">
    <vt:lpwstr>                 </vt:lpwstr>
  </property>
</Properties>
</file>